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04A16" w14:textId="77777777" w:rsidR="001B7C32" w:rsidRDefault="00E41647">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34D04A17" w14:textId="77777777" w:rsidR="001B7C32" w:rsidRDefault="001B7C32">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14:paraId="34D04A18" w14:textId="77777777" w:rsidR="001B7C32" w:rsidRDefault="00E4164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4D04A19" w14:textId="77777777" w:rsidR="001B7C32" w:rsidRDefault="00E41647">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34D04A1A" w14:textId="77777777" w:rsidR="001B7C32" w:rsidRDefault="001B7C32">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1B7C32" w14:paraId="34D04A1D" w14:textId="77777777">
        <w:tc>
          <w:tcPr>
            <w:tcW w:w="2704" w:type="dxa"/>
          </w:tcPr>
          <w:p w14:paraId="34D04A1B"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14:paraId="34D04A1C" w14:textId="77777777" w:rsidR="001B7C32" w:rsidRDefault="00E41647">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1B7C32" w14:paraId="34D04A20" w14:textId="77777777">
        <w:tc>
          <w:tcPr>
            <w:tcW w:w="2704" w:type="dxa"/>
          </w:tcPr>
          <w:p w14:paraId="34D04A1E"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14:paraId="34D04A1F"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1B7C32" w14:paraId="34D04A23" w14:textId="77777777">
        <w:tc>
          <w:tcPr>
            <w:tcW w:w="2704" w:type="dxa"/>
          </w:tcPr>
          <w:p w14:paraId="34D04A21"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14:paraId="34D04A22"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w:t>
            </w:r>
            <w:r>
              <w:rPr>
                <w:rFonts w:ascii="Arial" w:eastAsia="Arial" w:hAnsi="Arial"/>
                <w:color w:val="000000"/>
                <w:sz w:val="24"/>
                <w:szCs w:val="24"/>
              </w:rPr>
              <w:t xml:space="preserve"> this Schedule;</w:t>
            </w:r>
          </w:p>
        </w:tc>
      </w:tr>
      <w:tr w:rsidR="001B7C32" w14:paraId="34D04A26" w14:textId="77777777">
        <w:tc>
          <w:tcPr>
            <w:tcW w:w="2704" w:type="dxa"/>
          </w:tcPr>
          <w:p w14:paraId="34D04A24"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“Bronze Contract”</w:t>
            </w:r>
          </w:p>
        </w:tc>
        <w:tc>
          <w:tcPr>
            <w:tcW w:w="5952" w:type="dxa"/>
          </w:tcPr>
          <w:p w14:paraId="34D04A25"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 Call-Off Contract categorised as a Bronze contract using the Cabinet Office Contract Tiering Tool;</w:t>
            </w:r>
          </w:p>
        </w:tc>
      </w:tr>
      <w:tr w:rsidR="001B7C32" w14:paraId="34D04A29" w14:textId="77777777">
        <w:tc>
          <w:tcPr>
            <w:tcW w:w="2704" w:type="dxa"/>
          </w:tcPr>
          <w:p w14:paraId="34D04A27"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14:paraId="34D04A28"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1B7C32" w14:paraId="34D04A2C" w14:textId="77777777">
        <w:tc>
          <w:tcPr>
            <w:tcW w:w="2704" w:type="dxa"/>
          </w:tcPr>
          <w:p w14:paraId="34D04A2A"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14:paraId="34D04A2B"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minimum credit rating level for eac</w:t>
            </w:r>
            <w:r>
              <w:rPr>
                <w:rFonts w:ascii="Arial" w:eastAsia="Arial" w:hAnsi="Arial"/>
                <w:color w:val="000000"/>
                <w:sz w:val="24"/>
                <w:szCs w:val="24"/>
              </w:rPr>
              <w:t>h entity in the FDE Group as set out in Annex 1 to this Schedule;</w:t>
            </w:r>
          </w:p>
        </w:tc>
      </w:tr>
      <w:tr w:rsidR="001B7C32" w14:paraId="34D04A2F" w14:textId="77777777">
        <w:tc>
          <w:tcPr>
            <w:tcW w:w="2704" w:type="dxa"/>
          </w:tcPr>
          <w:p w14:paraId="34D04A2D"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14:paraId="34D04A2E"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Supplier, Key Sub-contractors, and the [the Guarantor];</w:t>
            </w:r>
          </w:p>
        </w:tc>
      </w:tr>
      <w:tr w:rsidR="001B7C32" w14:paraId="34D04A32" w14:textId="77777777">
        <w:tc>
          <w:tcPr>
            <w:tcW w:w="2704" w:type="dxa"/>
          </w:tcPr>
          <w:p w14:paraId="34D04A30"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14:paraId="34D04A31"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1B7C32" w14:paraId="34D04A35" w14:textId="77777777">
        <w:tc>
          <w:tcPr>
            <w:tcW w:w="2704" w:type="dxa"/>
          </w:tcPr>
          <w:p w14:paraId="34D04A33"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14:paraId="34D04A34"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1B7C32" w14:paraId="34D04A39" w14:textId="77777777">
        <w:tc>
          <w:tcPr>
            <w:tcW w:w="2704" w:type="dxa"/>
          </w:tcPr>
          <w:p w14:paraId="34D04A36"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Indicators”</w:t>
            </w:r>
          </w:p>
        </w:tc>
        <w:tc>
          <w:tcPr>
            <w:tcW w:w="5952" w:type="dxa"/>
          </w:tcPr>
          <w:p w14:paraId="34D04A37"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in</w:t>
            </w:r>
            <w:r>
              <w:rPr>
                <w:rFonts w:ascii="Arial" w:eastAsia="Arial" w:hAnsi="Arial"/>
                <w:color w:val="000000"/>
                <w:sz w:val="24"/>
                <w:szCs w:val="24"/>
              </w:rPr>
              <w:t xml:space="preserve"> respect of the Supplier, Key Sub-contractors and the Guarantor, means each of the financial indicators set out at paragraph 5.1 of this Schedule and in respect of each Monitored Supplier, means those Applicable Financial</w:t>
            </w:r>
          </w:p>
          <w:p w14:paraId="34D04A38"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Indicators;</w:t>
            </w:r>
          </w:p>
        </w:tc>
      </w:tr>
      <w:tr w:rsidR="001B7C32" w14:paraId="34D04A3C" w14:textId="77777777">
        <w:tc>
          <w:tcPr>
            <w:tcW w:w="2704" w:type="dxa"/>
          </w:tcPr>
          <w:p w14:paraId="34D04A3A"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lastRenderedPageBreak/>
              <w:t>“Financial Target Thr</w:t>
            </w:r>
            <w:r>
              <w:rPr>
                <w:rFonts w:ascii="Arial" w:eastAsia="Arial" w:hAnsi="Arial"/>
                <w:b/>
                <w:color w:val="000000"/>
                <w:sz w:val="24"/>
                <w:szCs w:val="24"/>
              </w:rPr>
              <w:t>esholds”</w:t>
            </w:r>
          </w:p>
        </w:tc>
        <w:tc>
          <w:tcPr>
            <w:tcW w:w="5952" w:type="dxa"/>
          </w:tcPr>
          <w:p w14:paraId="34D04A3B"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1B7C32" w14:paraId="34D04A3F" w14:textId="77777777">
        <w:tc>
          <w:tcPr>
            <w:tcW w:w="2704" w:type="dxa"/>
          </w:tcPr>
          <w:p w14:paraId="34D04A3D"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14:paraId="34D04A3E"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1B7C32" w14:paraId="34D04A42" w14:textId="77777777">
        <w:tc>
          <w:tcPr>
            <w:tcW w:w="2704" w:type="dxa"/>
          </w:tcPr>
          <w:p w14:paraId="34D04A40"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14:paraId="34D04A41"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1B7C32" w14:paraId="34D04A45" w14:textId="77777777">
        <w:tc>
          <w:tcPr>
            <w:tcW w:w="2704" w:type="dxa"/>
          </w:tcPr>
          <w:p w14:paraId="34D04A43"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14:paraId="34D04A44" w14:textId="77777777" w:rsidR="001B7C32" w:rsidRDefault="00E41647">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w:t>
              </w:r>
              <w:r>
                <w:rPr>
                  <w:rFonts w:ascii="Arial" w:eastAsia="Arial" w:hAnsi="Arial"/>
                  <w:color w:val="000000"/>
                  <w:sz w:val="24"/>
                  <w:szCs w:val="24"/>
                </w:rPr>
                <w:t>ic-suppliers</w:t>
              </w:r>
            </w:hyperlink>
            <w:r>
              <w:rPr>
                <w:rFonts w:ascii="Arial" w:eastAsia="Arial" w:hAnsi="Arial"/>
                <w:color w:val="000000"/>
                <w:sz w:val="24"/>
                <w:szCs w:val="24"/>
              </w:rPr>
              <w:t>.</w:t>
            </w:r>
          </w:p>
        </w:tc>
      </w:tr>
    </w:tbl>
    <w:p w14:paraId="34D04A46" w14:textId="77777777" w:rsidR="001B7C32" w:rsidRDefault="00E4164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14:paraId="34D04A47" w14:textId="77777777" w:rsidR="001B7C32" w:rsidRDefault="00E4164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34D04A48"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Annex 2 to this Schedule; and</w:t>
      </w:r>
    </w:p>
    <w:p w14:paraId="34D04A49"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financial position or, as appropriate, the financial performance of each of the Supplier, Guarantor and </w:t>
      </w:r>
      <w:r>
        <w:rPr>
          <w:rFonts w:ascii="Arial" w:eastAsia="Arial" w:hAnsi="Arial"/>
          <w:color w:val="000000"/>
          <w:sz w:val="24"/>
          <w:szCs w:val="24"/>
        </w:rPr>
        <w:t>Key Sub-contractors satisfies the Financial Target Thresholds.</w:t>
      </w:r>
    </w:p>
    <w:p w14:paraId="34D04A4A"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promptly notify (or shall procure that its auditors promptly notify) the Relevant Authority in writing if there is any downgrade in the credit rating issued by any Rating Agency for any entity in the FDE Group (and in any event within 5 </w:t>
      </w:r>
      <w:r>
        <w:rPr>
          <w:rFonts w:ascii="Arial" w:eastAsia="Arial" w:hAnsi="Arial"/>
          <w:color w:val="000000"/>
          <w:sz w:val="24"/>
          <w:szCs w:val="24"/>
        </w:rPr>
        <w:t>Working Days of the occurrence of the downgrade).</w:t>
      </w:r>
    </w:p>
    <w:p w14:paraId="34D04A4B"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14:paraId="34D04A4C"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14:paraId="34D04A4D"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w:t>
      </w:r>
      <w:r>
        <w:rPr>
          <w:rFonts w:ascii="Arial" w:eastAsia="Arial" w:hAnsi="Arial"/>
          <w:color w:val="000000"/>
          <w:sz w:val="24"/>
          <w:szCs w:val="24"/>
        </w:rPr>
        <w:t xml:space="preserve"> Financial Target Thresholds at least at the frequency set out for each at Paragraph 5.1 (where specified) and in any event, on a regular basis and no less than once a year within ninety (90) days after the Accounting Reference Date; and</w:t>
      </w:r>
    </w:p>
    <w:p w14:paraId="34D04A4E"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w:t>
      </w:r>
      <w:r>
        <w:rPr>
          <w:rFonts w:ascii="Arial" w:eastAsia="Arial" w:hAnsi="Arial"/>
          <w:color w:val="000000"/>
          <w:sz w:val="24"/>
          <w:szCs w:val="24"/>
        </w:rPr>
        <w:t>r shall procure that its auditors promptly notify) the Relevant Authority in writing following the occurrence of a Financial Distress Event or any fact, circumstance or matter which could cause a Financial Distress Event (and in any event, ensure that such</w:t>
      </w:r>
      <w:r>
        <w:rPr>
          <w:rFonts w:ascii="Arial" w:eastAsia="Arial" w:hAnsi="Arial"/>
          <w:color w:val="000000"/>
          <w:sz w:val="24"/>
          <w:szCs w:val="24"/>
        </w:rPr>
        <w:t xml:space="preserve"> notification is made within 10 Working Days of the date on which the Supplier first becomes aware of the Financial Distress Event or the fact, circumstance or matter which could cause a Financial Distress Event).</w:t>
      </w:r>
    </w:p>
    <w:p w14:paraId="34D04A4F"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w:t>
      </w:r>
      <w:r>
        <w:rPr>
          <w:rFonts w:ascii="Arial" w:eastAsia="Arial" w:hAnsi="Arial"/>
          <w:color w:val="000000"/>
          <w:sz w:val="24"/>
          <w:szCs w:val="24"/>
        </w:rPr>
        <w:t xml:space="preserve">Financial Distress Event has occurred pursuant to the provisions of Paragraphs 3.1(a), and for the purposes of </w:t>
      </w:r>
      <w:r>
        <w:rPr>
          <w:rFonts w:ascii="Arial" w:eastAsia="Arial" w:hAnsi="Arial"/>
          <w:color w:val="000000"/>
          <w:sz w:val="24"/>
          <w:szCs w:val="24"/>
        </w:rPr>
        <w:lastRenderedPageBreak/>
        <w:t>determining relief under Paragraph 7.1, the credit rating of an FDE Group entity shall be deemed to have dropped below the applicable Credit Rati</w:t>
      </w:r>
      <w:r>
        <w:rPr>
          <w:rFonts w:ascii="Arial" w:eastAsia="Arial" w:hAnsi="Arial"/>
          <w:color w:val="000000"/>
          <w:sz w:val="24"/>
          <w:szCs w:val="24"/>
        </w:rPr>
        <w:t>ng Threshold if any of the Rating Agencies have rated that entity at or below the applicable Credit Rating Threshold; or</w:t>
      </w:r>
    </w:p>
    <w:p w14:paraId="34D04A50"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2.3(b) shall:</w:t>
      </w:r>
    </w:p>
    <w:p w14:paraId="34D04A51"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w:t>
      </w:r>
      <w:r>
        <w:rPr>
          <w:rFonts w:ascii="Arial" w:eastAsia="Arial" w:hAnsi="Arial"/>
          <w:color w:val="000000"/>
          <w:sz w:val="24"/>
          <w:szCs w:val="24"/>
        </w:rPr>
        <w:t xml:space="preserve"> Group entities;</w:t>
      </w:r>
    </w:p>
    <w:p w14:paraId="34D04A52"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14:paraId="34D04A53"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w:t>
      </w:r>
      <w:r>
        <w:rPr>
          <w:rFonts w:ascii="Arial" w:eastAsia="Arial" w:hAnsi="Arial"/>
          <w:color w:val="000000"/>
          <w:sz w:val="24"/>
          <w:szCs w:val="24"/>
        </w:rPr>
        <w:t>s data that has been relied on) as separate annexes;</w:t>
      </w:r>
    </w:p>
    <w:p w14:paraId="34D04A54"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be based on the audited accounts for the date or period on which the Financial Indicator is based or, where the Financial Indicator is not linked to an accounting period or an accounting reference date, </w:t>
      </w:r>
      <w:r>
        <w:rPr>
          <w:rFonts w:ascii="Arial" w:eastAsia="Arial" w:hAnsi="Arial"/>
          <w:color w:val="000000"/>
          <w:sz w:val="24"/>
          <w:szCs w:val="24"/>
        </w:rPr>
        <w:t>on unaudited management accounts prepared in accordance with their normal timetable; and</w:t>
      </w:r>
    </w:p>
    <w:p w14:paraId="34D04A55"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w:t>
      </w:r>
      <w:r>
        <w:rPr>
          <w:rFonts w:ascii="Arial" w:eastAsia="Arial" w:hAnsi="Arial"/>
          <w:color w:val="000000"/>
          <w:sz w:val="24"/>
          <w:szCs w:val="24"/>
        </w:rPr>
        <w:t>ial performance.</w:t>
      </w:r>
    </w:p>
    <w:p w14:paraId="34D04A56" w14:textId="77777777" w:rsidR="001B7C32" w:rsidRDefault="00E4164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14:paraId="34D04A57"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34D04A58"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14:paraId="34D04A59"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14:paraId="34D04A5A"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w:t>
      </w:r>
      <w:r>
        <w:rPr>
          <w:rFonts w:ascii="Arial" w:eastAsia="Arial" w:hAnsi="Arial"/>
          <w:color w:val="000000"/>
          <w:sz w:val="24"/>
          <w:szCs w:val="24"/>
        </w:rPr>
        <w:t>ting and reporting, suspected fraud or any other impropriety of an FDE Group entity;</w:t>
      </w:r>
    </w:p>
    <w:p w14:paraId="34D04A5B"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14:paraId="34D04A5C"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w:t>
      </w:r>
      <w:r>
        <w:rPr>
          <w:rFonts w:ascii="Arial" w:eastAsia="Arial" w:hAnsi="Arial"/>
          <w:color w:val="000000"/>
          <w:sz w:val="24"/>
          <w:szCs w:val="24"/>
        </w:rPr>
        <w:t>al sums properly due under a specified invoice and not subject to a genuine dispute;</w:t>
      </w:r>
    </w:p>
    <w:p w14:paraId="34D04A5D"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14:paraId="34D04A5E" w14:textId="77777777" w:rsidR="001B7C32" w:rsidRDefault="00E4164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14:paraId="34D04A5F" w14:textId="77777777" w:rsidR="001B7C32" w:rsidRDefault="00E4164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lastRenderedPageBreak/>
        <w:t>non-payment by an FDE Group entity of any financial in</w:t>
      </w:r>
      <w:r>
        <w:rPr>
          <w:rFonts w:ascii="Arial" w:eastAsia="Arial" w:hAnsi="Arial"/>
          <w:color w:val="000000"/>
          <w:sz w:val="24"/>
          <w:szCs w:val="24"/>
        </w:rPr>
        <w:t>debtedness;</w:t>
      </w:r>
    </w:p>
    <w:p w14:paraId="34D04A60" w14:textId="77777777" w:rsidR="001B7C32" w:rsidRDefault="00E4164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14:paraId="34D04A61" w14:textId="77777777" w:rsidR="001B7C32" w:rsidRDefault="00E4164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34D04A62" w14:textId="77777777" w:rsidR="001B7C32" w:rsidRDefault="00E41647">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w:t>
      </w:r>
      <w:r>
        <w:rPr>
          <w:rFonts w:ascii="Arial" w:eastAsia="Arial" w:hAnsi="Arial"/>
          <w:color w:val="000000"/>
          <w:sz w:val="24"/>
          <w:szCs w:val="24"/>
        </w:rPr>
        <w:t>pressing a qualified opinion on, or including an emphasis of matter in, its opinion on the statutory accounts of that FDE entity;</w:t>
      </w:r>
    </w:p>
    <w:p w14:paraId="34D04A63" w14:textId="77777777" w:rsidR="001B7C32" w:rsidRDefault="00E41647">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w:t>
      </w:r>
      <w:r>
        <w:rPr>
          <w:rFonts w:ascii="Arial" w:eastAsia="Arial" w:hAnsi="Arial"/>
          <w:color w:val="000000"/>
          <w:sz w:val="24"/>
          <w:szCs w:val="24"/>
        </w:rPr>
        <w:t xml:space="preserve"> on the continued performance and delivery of the Deliverables in accordance with the Contract; and</w:t>
      </w:r>
    </w:p>
    <w:p w14:paraId="34D04A64" w14:textId="77777777" w:rsidR="001B7C32" w:rsidRDefault="00E41647">
      <w:pPr>
        <w:numPr>
          <w:ilvl w:val="2"/>
          <w:numId w:val="2"/>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34D04A65" w14:textId="77777777" w:rsidR="001B7C32" w:rsidRDefault="00E4164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14:paraId="34D04A66"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olor w:val="000000"/>
          <w:sz w:val="24"/>
          <w:szCs w:val="24"/>
        </w:rPr>
        <w:t>e Supplier), the Supplier shall have the obligations and the Relevant Authority shall have the rights and remedies as set out in Paragraphs 4.3 to 4.6.</w:t>
      </w:r>
    </w:p>
    <w:p w14:paraId="34D04A67"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3.1(e), the Relevant</w:t>
      </w:r>
      <w:r>
        <w:rPr>
          <w:rFonts w:ascii="Arial" w:eastAsia="Arial" w:hAnsi="Arial"/>
          <w:color w:val="000000"/>
          <w:sz w:val="24"/>
          <w:szCs w:val="24"/>
        </w:rPr>
        <w:t xml:space="preserve"> Authority shall not exercise any of its rights or remedies under Paragraph 4.3 without first giving the Supplier 10 Working Days to:</w:t>
      </w:r>
    </w:p>
    <w:p w14:paraId="34D04A68"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14:paraId="34D04A69"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w:t>
      </w:r>
      <w:r>
        <w:rPr>
          <w:rFonts w:ascii="Arial" w:eastAsia="Arial" w:hAnsi="Arial"/>
          <w:color w:val="000000"/>
          <w:sz w:val="24"/>
          <w:szCs w:val="24"/>
        </w:rPr>
        <w:t xml:space="preserve"> reason for late or non-payment.</w:t>
      </w:r>
    </w:p>
    <w:p w14:paraId="34D04A6A"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34D04A6B"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w:t>
      </w:r>
      <w:r>
        <w:rPr>
          <w:rFonts w:ascii="Arial" w:eastAsia="Arial" w:hAnsi="Arial"/>
          <w:color w:val="000000"/>
          <w:sz w:val="24"/>
          <w:szCs w:val="24"/>
        </w:rPr>
        <w:t>cticable (and in any event within 3 Working Days of the initial notification (or awareness) of the Financial Distress Event or such other period as the Relevant Authority may permit and notify to the Supplier in writing) to review the effect of the Financi</w:t>
      </w:r>
      <w:r>
        <w:rPr>
          <w:rFonts w:ascii="Arial" w:eastAsia="Arial" w:hAnsi="Arial"/>
          <w:color w:val="000000"/>
          <w:sz w:val="24"/>
          <w:szCs w:val="24"/>
        </w:rPr>
        <w:t>al Distress Event on the continued performance and delivery of the Services in accordance with the Contract; and</w:t>
      </w:r>
    </w:p>
    <w:p w14:paraId="34D04A6C"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4.3(a) that </w:t>
      </w:r>
      <w:r>
        <w:rPr>
          <w:rFonts w:ascii="Arial" w:eastAsia="Arial" w:hAnsi="Arial"/>
          <w:color w:val="000000"/>
          <w:sz w:val="24"/>
          <w:szCs w:val="24"/>
        </w:rPr>
        <w:t xml:space="preserve">the Financial Distress Event could impact </w:t>
      </w:r>
      <w:r>
        <w:rPr>
          <w:rFonts w:ascii="Arial" w:eastAsia="Arial" w:hAnsi="Arial"/>
          <w:color w:val="000000"/>
          <w:sz w:val="24"/>
          <w:szCs w:val="24"/>
        </w:rPr>
        <w:lastRenderedPageBreak/>
        <w:t>on the continued performance and delivery of the Deliverables in accordance with the Contract:</w:t>
      </w:r>
    </w:p>
    <w:p w14:paraId="34D04A6D" w14:textId="77777777" w:rsidR="001B7C32" w:rsidRDefault="00E41647">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olor w:val="000000"/>
          <w:sz w:val="24"/>
          <w:szCs w:val="24"/>
        </w:rPr>
        <w:t>her period as the Relevant Authority may permit and notify to the Supplier in writing); and</w:t>
      </w:r>
    </w:p>
    <w:p w14:paraId="34D04A6E" w14:textId="77777777" w:rsidR="001B7C32" w:rsidRDefault="00E41647">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w:t>
      </w:r>
      <w:r>
        <w:rPr>
          <w:rFonts w:ascii="Arial" w:eastAsia="Arial" w:hAnsi="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olor w:val="000000"/>
          <w:sz w:val="24"/>
          <w:szCs w:val="24"/>
        </w:rPr>
        <w:t>te the impact of the Financial Distress Event.</w:t>
      </w:r>
    </w:p>
    <w:p w14:paraId="34D04A6F"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olor w:val="000000"/>
          <w:sz w:val="24"/>
          <w:szCs w:val="24"/>
        </w:rPr>
        <w:t>shall inform the Supplier of its reasons and the Supplier shall take those reasons into account in the preparation of a further draft Financial Distress Remediation Plan, which shall be resubmitted to the Relevant Authority within 5 Working Days of the rej</w:t>
      </w:r>
      <w:r>
        <w:rPr>
          <w:rFonts w:ascii="Arial" w:eastAsia="Arial" w:hAnsi="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14:paraId="34D04A70"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w:t>
      </w:r>
      <w:r>
        <w:rPr>
          <w:rFonts w:ascii="Arial" w:eastAsia="Arial" w:hAnsi="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olor w:val="000000"/>
          <w:sz w:val="24"/>
          <w:szCs w:val="24"/>
        </w:rPr>
        <w:t>th the Contract, then it may either agree a further time period for the development and agreement of the Financial Distress Remediation Plan or escalate any issues with the draft Financial Distress Remediation Plan using the Dispute Resolution Procedure in</w:t>
      </w:r>
      <w:r>
        <w:rPr>
          <w:rFonts w:ascii="Arial" w:eastAsia="Arial" w:hAnsi="Arial"/>
          <w:color w:val="000000"/>
          <w:sz w:val="24"/>
          <w:szCs w:val="24"/>
        </w:rPr>
        <w:t xml:space="preserve"> Clause 34 of the Core Terms.</w:t>
      </w:r>
    </w:p>
    <w:p w14:paraId="34D04A71"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34D04A72"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34D04A73" w14:textId="77777777" w:rsidR="001B7C32" w:rsidRDefault="00E41647">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w:t>
      </w:r>
      <w:r>
        <w:rPr>
          <w:rFonts w:ascii="Arial" w:eastAsia="Arial" w:hAnsi="Arial"/>
          <w:color w:val="000000"/>
          <w:sz w:val="24"/>
          <w:szCs w:val="24"/>
        </w:rPr>
        <w:t>Remediation Plan as the Supplier may deem reasonably necessary and/or as may be reasonably requested by the Relevant Authority, so that the plan remains adequate, up to date and ensures the continued performance and delivery of the Deliverables in accordan</w:t>
      </w:r>
      <w:r>
        <w:rPr>
          <w:rFonts w:ascii="Arial" w:eastAsia="Arial" w:hAnsi="Arial"/>
          <w:color w:val="000000"/>
          <w:sz w:val="24"/>
          <w:szCs w:val="24"/>
        </w:rPr>
        <w:t>ce with this Contract; and</w:t>
      </w:r>
    </w:p>
    <w:p w14:paraId="34D04A74" w14:textId="77777777" w:rsidR="001B7C32" w:rsidRDefault="00E41647">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provide a written report to the Relevant Authority setting out its progress against the Financial Distress </w:t>
      </w:r>
      <w:r>
        <w:rPr>
          <w:rFonts w:ascii="Arial" w:eastAsia="Arial" w:hAnsi="Arial"/>
          <w:color w:val="000000"/>
          <w:sz w:val="24"/>
          <w:szCs w:val="24"/>
        </w:rPr>
        <w:lastRenderedPageBreak/>
        <w:t>Remediation Plan, the reasons for any changes made to the Financial Distress Remediation Plan by the Supplier and/or the reasons why the Supplier may</w:t>
      </w:r>
      <w:r>
        <w:rPr>
          <w:rFonts w:ascii="Arial" w:eastAsia="Arial" w:hAnsi="Arial"/>
          <w:color w:val="000000"/>
          <w:sz w:val="24"/>
          <w:szCs w:val="24"/>
        </w:rPr>
        <w:t xml:space="preserve"> have decided not to make any changes;</w:t>
      </w:r>
    </w:p>
    <w:p w14:paraId="34D04A75"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4.6(a), submit an updated Financial Distress Remediation Plan to the Relevant Authority for its approval, and the provisio</w:t>
      </w:r>
      <w:r>
        <w:rPr>
          <w:rFonts w:ascii="Arial" w:eastAsia="Arial" w:hAnsi="Arial"/>
          <w:color w:val="000000"/>
          <w:sz w:val="24"/>
          <w:szCs w:val="24"/>
        </w:rPr>
        <w:t>ns of Paragraphs 4.4 and 4.5 shall apply to the review and approval process for the updated Financial Distress Remediation Plan; and</w:t>
      </w:r>
    </w:p>
    <w:p w14:paraId="34D04A76"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34D04A77"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w:t>
      </w:r>
      <w:r>
        <w:rPr>
          <w:rFonts w:ascii="Arial" w:eastAsia="Arial" w:hAnsi="Arial"/>
          <w:color w:val="000000"/>
          <w:sz w:val="24"/>
          <w:szCs w:val="24"/>
        </w:rPr>
        <w:t>asonably believes that the relevant Financial Distress Event under Paragraph 4.1 (or the circumstance or matter which has caused or otherwise led to it) no longer exists, it shall notify the Relevant Authority and the Parties may agree that the Supplier sh</w:t>
      </w:r>
      <w:r>
        <w:rPr>
          <w:rFonts w:ascii="Arial" w:eastAsia="Arial" w:hAnsi="Arial"/>
          <w:color w:val="000000"/>
          <w:sz w:val="24"/>
          <w:szCs w:val="24"/>
        </w:rPr>
        <w:t>all be relieved of its obligations under Paragraph 4.6.</w:t>
      </w:r>
    </w:p>
    <w:p w14:paraId="34D04A78"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use reasonable endeavours to put in place the necessary measures to ensure that the information specified at paragraph 4.3(b)(ii) is available when required and on request from the </w:t>
      </w:r>
      <w:r>
        <w:rPr>
          <w:rFonts w:ascii="Arial" w:eastAsia="Arial" w:hAnsi="Arial"/>
          <w:color w:val="000000"/>
          <w:sz w:val="24"/>
          <w:szCs w:val="24"/>
        </w:rPr>
        <w:t>Relevant Authority and within reasonable timescales. Such measures may include:</w:t>
      </w:r>
    </w:p>
    <w:p w14:paraId="34D04A79"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w:t>
      </w:r>
      <w:r>
        <w:rPr>
          <w:rFonts w:ascii="Arial" w:eastAsia="Arial" w:hAnsi="Arial"/>
          <w:color w:val="000000"/>
          <w:sz w:val="24"/>
          <w:szCs w:val="24"/>
        </w:rPr>
        <w:t>ring into confidentiality agreements which permit disclosure;</w:t>
      </w:r>
    </w:p>
    <w:p w14:paraId="34D04A7A"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w:t>
      </w:r>
      <w:r>
        <w:rPr>
          <w:rFonts w:ascii="Arial" w:eastAsia="Arial" w:hAnsi="Arial"/>
          <w:color w:val="000000"/>
          <w:sz w:val="24"/>
          <w:szCs w:val="24"/>
        </w:rPr>
        <w:t xml:space="preserve"> the disclosure of the information to the Relevant Authority;</w:t>
      </w:r>
    </w:p>
    <w:p w14:paraId="34D04A7B"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olor w:val="000000"/>
          <w:sz w:val="24"/>
          <w:szCs w:val="24"/>
        </w:rPr>
        <w:t>tial arrangements, subject to their consent); and</w:t>
      </w:r>
    </w:p>
    <w:p w14:paraId="34D04A7C"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w:t>
      </w:r>
      <w:r>
        <w:rPr>
          <w:rFonts w:ascii="Arial" w:eastAsia="Arial" w:hAnsi="Arial"/>
          <w:color w:val="000000"/>
          <w:sz w:val="24"/>
          <w:szCs w:val="24"/>
        </w:rPr>
        <w:t xml:space="preserve"> without breaching a duty of confidentiality.</w:t>
      </w:r>
    </w:p>
    <w:p w14:paraId="34D04A7D" w14:textId="77777777" w:rsidR="001B7C32" w:rsidRDefault="00E4164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Financial Indicators</w:t>
      </w:r>
    </w:p>
    <w:p w14:paraId="34D04A7E"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Subject to the calculation methodology set out at Annex 3 of this Schedule, the Financial Indicators and the corresponding calculations and thresholds used to determine whether a Financial </w:t>
      </w:r>
      <w:r>
        <w:rPr>
          <w:rFonts w:ascii="Arial" w:eastAsia="Arial" w:hAnsi="Arial"/>
          <w:color w:val="000000"/>
          <w:sz w:val="24"/>
          <w:szCs w:val="24"/>
        </w:rPr>
        <w:t>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1B7C32" w14:paraId="34D04A83" w14:textId="77777777">
        <w:tc>
          <w:tcPr>
            <w:tcW w:w="2253" w:type="dxa"/>
            <w:shd w:val="clear" w:color="auto" w:fill="D9D9D9"/>
            <w:vAlign w:val="center"/>
          </w:tcPr>
          <w:p w14:paraId="34D04A7F" w14:textId="77777777" w:rsidR="001B7C32" w:rsidRDefault="00E41647">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14:paraId="34D04A80" w14:textId="77777777" w:rsidR="001B7C32" w:rsidRDefault="00E41647">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14:paraId="34D04A81" w14:textId="77777777" w:rsidR="001B7C32" w:rsidRDefault="00E41647">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14:paraId="34D04A82" w14:textId="77777777" w:rsidR="001B7C32" w:rsidRDefault="00E41647">
            <w:pPr>
              <w:pBdr>
                <w:top w:val="nil"/>
                <w:left w:val="nil"/>
                <w:bottom w:val="nil"/>
                <w:right w:val="nil"/>
                <w:between w:val="nil"/>
              </w:pBdr>
              <w:spacing w:before="100" w:after="200"/>
              <w:jc w:val="center"/>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Monitoring and Reporting Frequency [if different from the default position set out in Paragraph 2.3(b)]</w:t>
            </w:r>
          </w:p>
        </w:tc>
      </w:tr>
      <w:tr w:rsidR="001B7C32" w14:paraId="34D04A8A" w14:textId="77777777">
        <w:tc>
          <w:tcPr>
            <w:tcW w:w="2253" w:type="dxa"/>
            <w:vAlign w:val="center"/>
          </w:tcPr>
          <w:p w14:paraId="34D04A84"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34D04A85"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14:paraId="34D04A86" w14:textId="77777777" w:rsidR="001B7C32" w:rsidRDefault="001B7C32">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14:paraId="34D04A87"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bookmarkStart w:id="1" w:name="_GoBack"/>
            <w:bookmarkEnd w:id="1"/>
          </w:p>
        </w:tc>
        <w:tc>
          <w:tcPr>
            <w:tcW w:w="1697" w:type="dxa"/>
            <w:vAlign w:val="center"/>
          </w:tcPr>
          <w:p w14:paraId="34D04A88"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&lt;</w:t>
            </w:r>
            <w:sdt>
              <w:sdtPr>
                <w:tag w:val="goog_rdk_0"/>
                <w:id w:val="-2092917732"/>
              </w:sdtPr>
              <w:sdtEndPr/>
              <w:sdtContent/>
            </w:sdt>
            <w:r>
              <w:rPr>
                <w:rFonts w:ascii="Arial" w:eastAsia="Arial" w:hAnsi="Arial"/>
                <w:i/>
                <w:color w:val="000000"/>
                <w:sz w:val="24"/>
                <w:szCs w:val="24"/>
              </w:rPr>
              <w:t xml:space="preserve"> 5%</w:t>
            </w:r>
          </w:p>
        </w:tc>
        <w:tc>
          <w:tcPr>
            <w:tcW w:w="3089" w:type="dxa"/>
            <w:vAlign w:val="center"/>
          </w:tcPr>
          <w:p w14:paraId="34D04A89"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half yearly in arrears within 90 days of each accounting reference date / half year end based upon figures for the 12 months ending on the relevant accounting reference date / half year end</w:t>
            </w:r>
          </w:p>
        </w:tc>
      </w:tr>
      <w:tr w:rsidR="001B7C32" w14:paraId="34D04A90" w14:textId="77777777">
        <w:tc>
          <w:tcPr>
            <w:tcW w:w="2253" w:type="dxa"/>
            <w:vAlign w:val="center"/>
          </w:tcPr>
          <w:p w14:paraId="34D04A8B"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34D04A8C"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7030A0"/>
                <w:sz w:val="24"/>
                <w:szCs w:val="24"/>
              </w:rPr>
              <w:t xml:space="preserve"> </w:t>
            </w:r>
            <w:r>
              <w:rPr>
                <w:rFonts w:ascii="Arial" w:eastAsia="Arial" w:hAnsi="Arial"/>
                <w:b/>
                <w:color w:val="000000"/>
                <w:sz w:val="24"/>
                <w:szCs w:val="24"/>
              </w:rPr>
              <w:t>Net Debt to EBITDA Ratio</w:t>
            </w:r>
          </w:p>
        </w:tc>
        <w:tc>
          <w:tcPr>
            <w:tcW w:w="1977" w:type="dxa"/>
            <w:vAlign w:val="center"/>
          </w:tcPr>
          <w:p w14:paraId="34D04A8D"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7030A0"/>
                <w:sz w:val="24"/>
                <w:szCs w:val="24"/>
              </w:rPr>
              <w:t xml:space="preserve"> </w:t>
            </w:r>
            <w:r>
              <w:rPr>
                <w:rFonts w:ascii="Arial" w:eastAsia="Arial" w:hAnsi="Arial"/>
                <w:i/>
                <w:color w:val="000000"/>
                <w:sz w:val="24"/>
                <w:szCs w:val="24"/>
              </w:rPr>
              <w:t>Net Debt to EBITDA ratio = Net Debt / EBITDA</w:t>
            </w:r>
          </w:p>
        </w:tc>
        <w:tc>
          <w:tcPr>
            <w:tcW w:w="1697" w:type="dxa"/>
            <w:vAlign w:val="center"/>
          </w:tcPr>
          <w:p w14:paraId="34D04A8E" w14:textId="77777777" w:rsidR="001B7C32" w:rsidRDefault="00E41647">
            <w:pPr>
              <w:pBdr>
                <w:top w:val="nil"/>
                <w:left w:val="nil"/>
                <w:bottom w:val="nil"/>
                <w:right w:val="nil"/>
                <w:between w:val="nil"/>
              </w:pBdr>
              <w:spacing w:before="100" w:after="200"/>
              <w:ind w:left="720"/>
              <w:jc w:val="left"/>
              <w:rPr>
                <w:rFonts w:ascii="Arial" w:eastAsia="Arial" w:hAnsi="Arial"/>
                <w:i/>
                <w:color w:val="000000"/>
                <w:sz w:val="24"/>
                <w:szCs w:val="24"/>
              </w:rPr>
            </w:pPr>
            <w:r>
              <w:rPr>
                <w:rFonts w:ascii="Arial" w:eastAsia="Arial" w:hAnsi="Arial"/>
                <w:i/>
                <w:color w:val="7030A0"/>
                <w:sz w:val="24"/>
                <w:szCs w:val="24"/>
              </w:rPr>
              <w:t xml:space="preserve"> </w:t>
            </w:r>
            <w:r>
              <w:rPr>
                <w:rFonts w:ascii="Arial" w:eastAsia="Arial" w:hAnsi="Arial"/>
                <w:i/>
                <w:sz w:val="24"/>
                <w:szCs w:val="24"/>
              </w:rPr>
              <w:t>&gt;</w:t>
            </w:r>
            <w:r>
              <w:rPr>
                <w:rFonts w:ascii="Arial" w:eastAsia="Arial" w:hAnsi="Arial"/>
                <w:i/>
                <w:color w:val="000000"/>
                <w:sz w:val="24"/>
                <w:szCs w:val="24"/>
              </w:rPr>
              <w:t>3.5 times</w:t>
            </w:r>
          </w:p>
        </w:tc>
        <w:tc>
          <w:tcPr>
            <w:tcW w:w="3089" w:type="dxa"/>
            <w:vAlign w:val="center"/>
          </w:tcPr>
          <w:p w14:paraId="34D04A8F"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half yearly in arrears within 90 days of each accounting reference date / half year end] based upon EBITDA] for the 12 months ending on, and Net Debt at, the relevant accounting reference date / half year end</w:t>
            </w:r>
          </w:p>
        </w:tc>
      </w:tr>
      <w:tr w:rsidR="001B7C32" w14:paraId="34D04A96" w14:textId="77777777">
        <w:tc>
          <w:tcPr>
            <w:tcW w:w="2253" w:type="dxa"/>
            <w:vAlign w:val="center"/>
          </w:tcPr>
          <w:p w14:paraId="34D04A91"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14:paraId="34D04A92"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1977" w:type="dxa"/>
            <w:vAlign w:val="center"/>
          </w:tcPr>
          <w:p w14:paraId="34D04A93"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 Net Pension Deficit to EBITDA Ratio = (Net Debt + Net Pension Deficit) / EBITDA</w:t>
            </w:r>
          </w:p>
        </w:tc>
        <w:tc>
          <w:tcPr>
            <w:tcW w:w="1697" w:type="dxa"/>
            <w:vAlign w:val="center"/>
          </w:tcPr>
          <w:p w14:paraId="34D04A94"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&gt;</w:t>
            </w:r>
            <w:r>
              <w:rPr>
                <w:rFonts w:ascii="Arial" w:eastAsia="Arial" w:hAnsi="Arial"/>
                <w:i/>
                <w:color w:val="000000"/>
                <w:sz w:val="24"/>
                <w:szCs w:val="24"/>
              </w:rPr>
              <w:t>5 times</w:t>
            </w:r>
          </w:p>
        </w:tc>
        <w:tc>
          <w:tcPr>
            <w:tcW w:w="3089" w:type="dxa"/>
            <w:vAlign w:val="center"/>
          </w:tcPr>
          <w:p w14:paraId="34D04A95"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90 days of each accounting reference date based upon EBITDA for </w:t>
            </w:r>
            <w:r>
              <w:rPr>
                <w:rFonts w:ascii="Arial" w:eastAsia="Arial" w:hAnsi="Arial"/>
                <w:i/>
                <w:color w:val="000000"/>
                <w:sz w:val="24"/>
                <w:szCs w:val="24"/>
              </w:rPr>
              <w:t>the 12 months ending on, and the Net Debt and Net Pension Deficit at, the relevant accounting reference date</w:t>
            </w:r>
          </w:p>
        </w:tc>
      </w:tr>
      <w:tr w:rsidR="001B7C32" w14:paraId="34D04A9C" w14:textId="77777777">
        <w:tc>
          <w:tcPr>
            <w:tcW w:w="2253" w:type="dxa"/>
            <w:vAlign w:val="center"/>
          </w:tcPr>
          <w:p w14:paraId="34D04A97"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14:paraId="34D04A98"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14:paraId="34D04A99"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Net Interest Paid Cover = Earnings Before Interest and Tax </w:t>
            </w:r>
            <w:r>
              <w:rPr>
                <w:rFonts w:ascii="Arial" w:eastAsia="Arial" w:hAnsi="Arial"/>
                <w:i/>
                <w:color w:val="000000"/>
                <w:sz w:val="24"/>
                <w:szCs w:val="24"/>
              </w:rPr>
              <w:lastRenderedPageBreak/>
              <w:t>/ Net Interest Paid</w:t>
            </w:r>
          </w:p>
        </w:tc>
        <w:tc>
          <w:tcPr>
            <w:tcW w:w="1697" w:type="dxa"/>
            <w:vAlign w:val="center"/>
          </w:tcPr>
          <w:p w14:paraId="34D04A9A"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lastRenderedPageBreak/>
              <w:t>&lt;</w:t>
            </w:r>
            <w:r>
              <w:rPr>
                <w:rFonts w:ascii="Arial" w:eastAsia="Arial" w:hAnsi="Arial"/>
                <w:i/>
                <w:color w:val="000000"/>
                <w:sz w:val="24"/>
                <w:szCs w:val="24"/>
              </w:rPr>
              <w:t xml:space="preserve"> 3 times</w:t>
            </w:r>
          </w:p>
        </w:tc>
        <w:tc>
          <w:tcPr>
            <w:tcW w:w="3089" w:type="dxa"/>
            <w:vAlign w:val="center"/>
          </w:tcPr>
          <w:p w14:paraId="34D04A9B"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half yearly in arrears within 90 days of </w:t>
            </w:r>
            <w:proofErr w:type="gramStart"/>
            <w:r>
              <w:rPr>
                <w:rFonts w:ascii="Arial" w:eastAsia="Arial" w:hAnsi="Arial"/>
                <w:i/>
                <w:color w:val="000000"/>
                <w:sz w:val="24"/>
                <w:szCs w:val="24"/>
              </w:rPr>
              <w:t>each  accounting</w:t>
            </w:r>
            <w:proofErr w:type="gramEnd"/>
            <w:r>
              <w:rPr>
                <w:rFonts w:ascii="Arial" w:eastAsia="Arial" w:hAnsi="Arial"/>
                <w:i/>
                <w:color w:val="000000"/>
                <w:sz w:val="24"/>
                <w:szCs w:val="24"/>
              </w:rPr>
              <w:t xml:space="preserve"> reference date / half year end based upon figures for the 12 months ending on </w:t>
            </w:r>
            <w:r>
              <w:rPr>
                <w:rFonts w:ascii="Arial" w:eastAsia="Arial" w:hAnsi="Arial"/>
                <w:i/>
                <w:color w:val="000000"/>
                <w:sz w:val="24"/>
                <w:szCs w:val="24"/>
              </w:rPr>
              <w:lastRenderedPageBreak/>
              <w:t>the relevant accounting reference date / half year end</w:t>
            </w:r>
          </w:p>
        </w:tc>
      </w:tr>
      <w:tr w:rsidR="001B7C32" w14:paraId="34D04AA2" w14:textId="77777777">
        <w:tc>
          <w:tcPr>
            <w:tcW w:w="2253" w:type="dxa"/>
            <w:vAlign w:val="center"/>
          </w:tcPr>
          <w:p w14:paraId="34D04A9D"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34D04A9E"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vAlign w:val="center"/>
          </w:tcPr>
          <w:p w14:paraId="34D04A9F"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vAlign w:val="center"/>
          </w:tcPr>
          <w:p w14:paraId="34D04AA0"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&lt;</w:t>
            </w:r>
            <w:r>
              <w:rPr>
                <w:rFonts w:ascii="Arial" w:eastAsia="Arial" w:hAnsi="Arial"/>
                <w:i/>
                <w:color w:val="000000"/>
                <w:sz w:val="24"/>
                <w:szCs w:val="24"/>
              </w:rPr>
              <w:t xml:space="preserve"> 0.8 times</w:t>
            </w:r>
          </w:p>
        </w:tc>
        <w:tc>
          <w:tcPr>
            <w:tcW w:w="3089" w:type="dxa"/>
            <w:vAlign w:val="center"/>
          </w:tcPr>
          <w:p w14:paraId="34D04AA1"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 half yearly in arrears within 90 days of each accounting reference date / half year end based upon figures at the relevant accounting reference date </w:t>
            </w:r>
            <w:r>
              <w:rPr>
                <w:rFonts w:ascii="Arial" w:eastAsia="Arial" w:hAnsi="Arial"/>
                <w:i/>
                <w:color w:val="000000"/>
                <w:sz w:val="24"/>
                <w:szCs w:val="24"/>
              </w:rPr>
              <w:t>/ half year end</w:t>
            </w:r>
          </w:p>
        </w:tc>
      </w:tr>
      <w:tr w:rsidR="001B7C32" w14:paraId="34D04AA8" w14:textId="77777777">
        <w:tc>
          <w:tcPr>
            <w:tcW w:w="2253" w:type="dxa"/>
            <w:vAlign w:val="center"/>
          </w:tcPr>
          <w:p w14:paraId="34D04AA3"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34D04AA4"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1977" w:type="dxa"/>
            <w:vAlign w:val="center"/>
          </w:tcPr>
          <w:p w14:paraId="34D04AA5"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Asset Value = Net Assets</w:t>
            </w:r>
          </w:p>
        </w:tc>
        <w:tc>
          <w:tcPr>
            <w:tcW w:w="1697" w:type="dxa"/>
            <w:vAlign w:val="center"/>
          </w:tcPr>
          <w:p w14:paraId="34D04AA6"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&lt;</w:t>
            </w:r>
            <w:r>
              <w:rPr>
                <w:rFonts w:ascii="Arial" w:eastAsia="Arial" w:hAnsi="Arial"/>
                <w:i/>
                <w:color w:val="000000"/>
                <w:sz w:val="24"/>
                <w:szCs w:val="24"/>
              </w:rPr>
              <w:t xml:space="preserve"> £0</w:t>
            </w:r>
          </w:p>
        </w:tc>
        <w:tc>
          <w:tcPr>
            <w:tcW w:w="3089" w:type="dxa"/>
            <w:vAlign w:val="center"/>
          </w:tcPr>
          <w:p w14:paraId="34D04AA7"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half yearly in arrears within 90 days of each accounting reference date / half year end based upon figures at the relevant accounting reference date / half year end</w:t>
            </w:r>
          </w:p>
        </w:tc>
      </w:tr>
      <w:tr w:rsidR="001B7C32" w14:paraId="34D04AAE" w14:textId="77777777">
        <w:tc>
          <w:tcPr>
            <w:tcW w:w="2253" w:type="dxa"/>
            <w:vAlign w:val="center"/>
          </w:tcPr>
          <w:p w14:paraId="34D04AA9"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34D04AAA"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1977" w:type="dxa"/>
            <w:vAlign w:val="center"/>
          </w:tcPr>
          <w:p w14:paraId="34D04AAB"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14:paraId="34D04AAC"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sz w:val="24"/>
                <w:szCs w:val="24"/>
              </w:rPr>
              <w:t>&gt;</w:t>
            </w:r>
            <w:r>
              <w:rPr>
                <w:rFonts w:ascii="Arial" w:eastAsia="Arial" w:hAnsi="Arial"/>
                <w:i/>
                <w:color w:val="000000"/>
                <w:sz w:val="24"/>
                <w:szCs w:val="24"/>
              </w:rPr>
              <w:t xml:space="preserve"> 50%</w:t>
            </w:r>
          </w:p>
        </w:tc>
        <w:tc>
          <w:tcPr>
            <w:tcW w:w="3089" w:type="dxa"/>
            <w:vAlign w:val="center"/>
          </w:tcPr>
          <w:p w14:paraId="34D04AAD" w14:textId="77777777" w:rsidR="001B7C32" w:rsidRDefault="00E41647">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14:paraId="34D04AAF" w14:textId="77777777" w:rsidR="001B7C32" w:rsidRDefault="00E41647">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14:paraId="34D04AB0" w14:textId="77777777" w:rsidR="001B7C32" w:rsidRDefault="00E4164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14:paraId="34D04AB1"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34D04AB2"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2.3(c);</w:t>
      </w:r>
    </w:p>
    <w:p w14:paraId="34D04AB3"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w:t>
      </w:r>
      <w:r>
        <w:rPr>
          <w:rFonts w:ascii="Arial" w:eastAsia="Arial" w:hAnsi="Arial"/>
          <w:color w:val="000000"/>
          <w:sz w:val="24"/>
          <w:szCs w:val="24"/>
        </w:rPr>
        <w:t>aragraphs 4.3 to 4.5; and/or</w:t>
      </w:r>
    </w:p>
    <w:p w14:paraId="34D04AB4"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4.6(c),</w:t>
      </w:r>
    </w:p>
    <w:p w14:paraId="34D04AB5" w14:textId="77777777" w:rsidR="001B7C32" w:rsidRDefault="00E41647">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14:paraId="34D04AB6" w14:textId="77777777" w:rsidR="001B7C32" w:rsidRDefault="00E4164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Primacy of Credit Ratings</w:t>
      </w:r>
    </w:p>
    <w:p w14:paraId="34D04AB7"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w:t>
      </w:r>
      <w:r>
        <w:rPr>
          <w:rFonts w:ascii="Arial" w:eastAsia="Arial" w:hAnsi="Arial"/>
          <w:color w:val="000000"/>
          <w:sz w:val="24"/>
          <w:szCs w:val="24"/>
        </w:rPr>
        <w:t>ity’s rights and remedies under Paragraph 2, if, following the occurrence of a Financial Distress Event pursuant to any of Paragraphs 3.1(b) to 3.1(g), the Rating Agencies review and report subsequently that the credit ratings for the FDE Group entities do</w:t>
      </w:r>
      <w:r>
        <w:rPr>
          <w:rFonts w:ascii="Arial" w:eastAsia="Arial" w:hAnsi="Arial"/>
          <w:color w:val="000000"/>
          <w:sz w:val="24"/>
          <w:szCs w:val="24"/>
        </w:rPr>
        <w:t xml:space="preserve"> not drop below the relevant Credit Rating Thresholds specified for those entities in Annex 2 to this Schedule, then:</w:t>
      </w:r>
    </w:p>
    <w:p w14:paraId="34D04AB8"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34D04AB9"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4.3(b)(ii).</w:t>
      </w:r>
    </w:p>
    <w:p w14:paraId="34D04ABA" w14:textId="77777777" w:rsidR="001B7C32" w:rsidRDefault="00E4164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14:paraId="34D04ABB"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If the Contract has been specified as a Critical Service Contract under Paragraph 2.1 of Part </w:t>
      </w:r>
      <w:r>
        <w:rPr>
          <w:rFonts w:ascii="Arial" w:eastAsia="Arial" w:hAnsi="Arial"/>
          <w:color w:val="000000"/>
          <w:sz w:val="24"/>
          <w:szCs w:val="24"/>
        </w:rPr>
        <w:t>B of Annex 1 to Call-Off Schedule 8 (Business Continuity and Disaster Recovery) (if applicable) then, subject to Paragraph 8.4 of this Schedule, the Supplier shall within ninety (90) days after each Accounting Reference Date or within 15 months of the prev</w:t>
      </w:r>
      <w:r>
        <w:rPr>
          <w:rFonts w:ascii="Arial" w:eastAsia="Arial" w:hAnsi="Arial"/>
          <w:color w:val="000000"/>
          <w:sz w:val="24"/>
          <w:szCs w:val="24"/>
        </w:rPr>
        <w:t>ious Board Confirmation (whichever is the earlier) provide a Board Confirmation to the Relevant Authority in the form set out at Annex 4 to this Schedule, confirming that to the best of the Board’s knowledge and belief, it is not aware of and has no knowle</w:t>
      </w:r>
      <w:r>
        <w:rPr>
          <w:rFonts w:ascii="Arial" w:eastAsia="Arial" w:hAnsi="Arial"/>
          <w:color w:val="000000"/>
          <w:sz w:val="24"/>
          <w:szCs w:val="24"/>
        </w:rPr>
        <w:t>dge:</w:t>
      </w:r>
    </w:p>
    <w:p w14:paraId="34D04ABC"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34D04ABD" w14:textId="77777777" w:rsidR="001B7C32" w:rsidRDefault="00E4164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w:t>
      </w:r>
      <w:r>
        <w:rPr>
          <w:rFonts w:ascii="Arial" w:eastAsia="Arial" w:hAnsi="Arial"/>
          <w:color w:val="000000"/>
          <w:sz w:val="24"/>
          <w:szCs w:val="24"/>
        </w:rPr>
        <w:t>ress Event.</w:t>
      </w:r>
    </w:p>
    <w:p w14:paraId="34D04ABE"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w:t>
      </w:r>
      <w:r>
        <w:rPr>
          <w:rFonts w:ascii="Arial" w:eastAsia="Arial" w:hAnsi="Arial"/>
          <w:color w:val="000000"/>
          <w:sz w:val="24"/>
          <w:szCs w:val="24"/>
        </w:rPr>
        <w:t>m the position.</w:t>
      </w:r>
    </w:p>
    <w:p w14:paraId="34D04ABF"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w:t>
      </w:r>
      <w:r>
        <w:rPr>
          <w:rFonts w:ascii="Arial" w:eastAsia="Arial" w:hAnsi="Arial"/>
          <w:color w:val="000000"/>
          <w:sz w:val="24"/>
          <w:szCs w:val="24"/>
        </w:rPr>
        <w:t xml:space="preserve"> this Schedule.</w:t>
      </w:r>
    </w:p>
    <w:p w14:paraId="34D04AC0" w14:textId="77777777" w:rsidR="001B7C32" w:rsidRDefault="00E41647">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w:t>
      </w:r>
      <w:r>
        <w:rPr>
          <w:rFonts w:ascii="Arial" w:eastAsia="Arial" w:hAnsi="Arial"/>
          <w:color w:val="000000"/>
          <w:sz w:val="24"/>
          <w:szCs w:val="24"/>
        </w:rPr>
        <w:t>ncial Distress Event, it will be sufficient for the Supplier to submit in place of the Board Confirmation, a statement from the Board of Directors to the Buyer (and where the Supplier is a Strategic Supplier, the Supplier shall send a copy of the statement</w:t>
      </w:r>
      <w:r>
        <w:rPr>
          <w:rFonts w:ascii="Arial" w:eastAsia="Arial" w:hAnsi="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14:paraId="34D04AC1" w14:textId="77777777" w:rsidR="001B7C32" w:rsidRDefault="00E4164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Optional Clauses</w:t>
      </w:r>
    </w:p>
    <w:p w14:paraId="34D04AC2" w14:textId="77777777" w:rsidR="001B7C32" w:rsidRDefault="00E4164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Where a Buyer’s Call</w:t>
      </w:r>
      <w:r>
        <w:rPr>
          <w:rFonts w:ascii="Arial" w:eastAsia="Arial" w:hAnsi="Arial"/>
          <w:color w:val="000000"/>
          <w:sz w:val="24"/>
          <w:szCs w:val="24"/>
        </w:rPr>
        <w:t xml:space="preserve">-Off Contract is a Bronze Contract, if specified in the Order Form, the terms at Annex 5 shall apply to the Call-Off Contract in place of the remainder of this Joint Schedule 7. </w:t>
      </w:r>
    </w:p>
    <w:p w14:paraId="34D04AC3" w14:textId="77777777" w:rsidR="001B7C32" w:rsidRDefault="001B7C32">
      <w:pPr>
        <w:pBdr>
          <w:top w:val="nil"/>
          <w:left w:val="nil"/>
          <w:bottom w:val="nil"/>
          <w:right w:val="nil"/>
          <w:between w:val="nil"/>
        </w:pBdr>
        <w:tabs>
          <w:tab w:val="left" w:pos="142"/>
        </w:tabs>
        <w:spacing w:before="120"/>
        <w:ind w:left="360" w:hanging="360"/>
        <w:rPr>
          <w:rFonts w:eastAsia="Calibri" w:cs="Calibri"/>
          <w:b/>
          <w:smallCaps/>
          <w:color w:val="000000"/>
        </w:rPr>
      </w:pPr>
    </w:p>
    <w:p w14:paraId="34D04AC4" w14:textId="77777777" w:rsidR="001B7C32" w:rsidRDefault="00E41647">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34D04AC5" w14:textId="77777777" w:rsidR="001B7C32" w:rsidRDefault="00E4164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34D04AC6" w14:textId="77777777" w:rsidR="001B7C32" w:rsidRDefault="00E4164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34D04AC7" w14:textId="77777777" w:rsidR="001B7C32" w:rsidRDefault="00E41647">
      <w:pPr>
        <w:spacing w:after="200" w:line="276" w:lineRule="auto"/>
        <w:jc w:val="left"/>
        <w:rPr>
          <w:rFonts w:ascii="Arial" w:eastAsia="Arial" w:hAnsi="Arial"/>
          <w:sz w:val="24"/>
          <w:szCs w:val="24"/>
        </w:rPr>
      </w:pPr>
      <w:r>
        <w:br w:type="page"/>
      </w:r>
    </w:p>
    <w:p w14:paraId="34D04AC8" w14:textId="77777777" w:rsidR="001B7C32" w:rsidRDefault="00E41647">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2" w:name="_heading=h.30j0zll" w:colFirst="0" w:colLast="0"/>
      <w:bookmarkEnd w:id="2"/>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1B7C32" w14:paraId="34D04ACB" w14:textId="77777777">
        <w:tc>
          <w:tcPr>
            <w:tcW w:w="3080" w:type="dxa"/>
            <w:tcBorders>
              <w:top w:val="single" w:sz="4" w:space="0" w:color="000000"/>
            </w:tcBorders>
            <w:shd w:val="clear" w:color="auto" w:fill="FFFFFF"/>
          </w:tcPr>
          <w:p w14:paraId="34D04AC9" w14:textId="77777777" w:rsidR="001B7C32" w:rsidRDefault="00E4164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34D04ACA" w14:textId="77777777" w:rsidR="001B7C32" w:rsidRDefault="00E4164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1B7C32" w14:paraId="34D04ACE" w14:textId="77777777">
        <w:tc>
          <w:tcPr>
            <w:tcW w:w="3080" w:type="dxa"/>
            <w:shd w:val="clear" w:color="auto" w:fill="FFFFFF"/>
          </w:tcPr>
          <w:p w14:paraId="34D04ACC" w14:textId="77777777" w:rsidR="001B7C32" w:rsidRDefault="00E4164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34D04ACD" w14:textId="77777777" w:rsidR="001B7C32" w:rsidRDefault="00E4164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 Financial Failure Score = or &gt;70.</w:t>
            </w:r>
          </w:p>
        </w:tc>
      </w:tr>
      <w:tr w:rsidR="001B7C32" w14:paraId="34D04AD1" w14:textId="77777777">
        <w:tc>
          <w:tcPr>
            <w:tcW w:w="3080" w:type="dxa"/>
            <w:shd w:val="clear" w:color="auto" w:fill="FFFFFF"/>
          </w:tcPr>
          <w:p w14:paraId="34D04ACF" w14:textId="77777777" w:rsidR="001B7C32" w:rsidRDefault="00E4164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[Guarantor]</w:t>
            </w:r>
          </w:p>
        </w:tc>
        <w:tc>
          <w:tcPr>
            <w:tcW w:w="3081" w:type="dxa"/>
            <w:shd w:val="clear" w:color="auto" w:fill="FFFFFF"/>
          </w:tcPr>
          <w:p w14:paraId="34D04AD0" w14:textId="77777777" w:rsidR="001B7C32" w:rsidRDefault="00E4164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TBC at Contract Kick-off Meeting</w:t>
            </w:r>
          </w:p>
        </w:tc>
      </w:tr>
      <w:tr w:rsidR="001B7C32" w14:paraId="34D04AD4" w14:textId="77777777">
        <w:tc>
          <w:tcPr>
            <w:tcW w:w="3080" w:type="dxa"/>
            <w:tcBorders>
              <w:bottom w:val="single" w:sz="4" w:space="0" w:color="000000"/>
            </w:tcBorders>
            <w:shd w:val="clear" w:color="auto" w:fill="FFFFFF"/>
          </w:tcPr>
          <w:p w14:paraId="34D04AD2" w14:textId="77777777" w:rsidR="001B7C32" w:rsidRDefault="00E4164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34D04AD3" w14:textId="77777777" w:rsidR="001B7C32" w:rsidRDefault="00E4164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TBC at Contract Kick-off Meeting</w:t>
            </w:r>
          </w:p>
        </w:tc>
      </w:tr>
    </w:tbl>
    <w:p w14:paraId="34D04AD5" w14:textId="77777777" w:rsidR="001B7C32" w:rsidRDefault="001B7C32">
      <w:pPr>
        <w:pBdr>
          <w:top w:val="nil"/>
          <w:left w:val="nil"/>
          <w:bottom w:val="nil"/>
          <w:right w:val="nil"/>
          <w:between w:val="nil"/>
        </w:pBdr>
        <w:spacing w:before="100" w:after="200"/>
        <w:jc w:val="left"/>
        <w:rPr>
          <w:rFonts w:ascii="Arial" w:eastAsia="Arial" w:hAnsi="Arial"/>
          <w:color w:val="000000"/>
          <w:sz w:val="24"/>
          <w:szCs w:val="24"/>
        </w:rPr>
      </w:pPr>
    </w:p>
    <w:p w14:paraId="34D04AD6" w14:textId="77777777" w:rsidR="001B7C32" w:rsidRDefault="00E41647">
      <w:pPr>
        <w:spacing w:after="200" w:line="276" w:lineRule="auto"/>
        <w:jc w:val="left"/>
        <w:rPr>
          <w:rFonts w:ascii="Arial" w:eastAsia="Arial" w:hAnsi="Arial"/>
          <w:sz w:val="24"/>
          <w:szCs w:val="24"/>
        </w:rPr>
      </w:pPr>
      <w:r>
        <w:br w:type="page"/>
      </w:r>
    </w:p>
    <w:p w14:paraId="34D04AD7" w14:textId="77777777" w:rsidR="001B7C32" w:rsidRDefault="00E41647">
      <w:pPr>
        <w:pBdr>
          <w:top w:val="nil"/>
          <w:left w:val="nil"/>
          <w:bottom w:val="nil"/>
          <w:right w:val="nil"/>
          <w:between w:val="nil"/>
        </w:pBdr>
        <w:spacing w:before="100" w:after="200"/>
        <w:jc w:val="left"/>
        <w:rPr>
          <w:rFonts w:ascii="Arial" w:eastAsia="Arial" w:hAnsi="Arial"/>
          <w:b/>
          <w:i/>
          <w:color w:val="000000"/>
          <w:sz w:val="24"/>
          <w:szCs w:val="24"/>
        </w:rPr>
      </w:pPr>
      <w:r>
        <w:rPr>
          <w:rFonts w:ascii="Arial" w:eastAsia="Arial" w:hAnsi="Arial"/>
          <w:b/>
          <w:color w:val="000000"/>
          <w:sz w:val="24"/>
          <w:szCs w:val="24"/>
        </w:rPr>
        <w:lastRenderedPageBreak/>
        <w:t>Annex 3: Calculation methodology for Financial Indicators</w:t>
      </w:r>
    </w:p>
    <w:p w14:paraId="34D04AD8"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34D04AD9"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34D04ADA" w14:textId="77777777" w:rsidR="001B7C32" w:rsidRDefault="00E41647">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w:t>
      </w:r>
      <w:r>
        <w:rPr>
          <w:rFonts w:ascii="Arial" w:eastAsia="Arial" w:hAnsi="Arial"/>
          <w:color w:val="000000"/>
          <w:sz w:val="24"/>
          <w:szCs w:val="24"/>
        </w:rPr>
        <w:t xml:space="preserve"> would refer to a surplus or deficit rather than a profit or loss).</w:t>
      </w:r>
    </w:p>
    <w:p w14:paraId="34D04ADB" w14:textId="77777777" w:rsidR="001B7C32" w:rsidRDefault="00E41647">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3" w:name="_heading=h.3znysh7" w:colFirst="0" w:colLast="0"/>
      <w:bookmarkEnd w:id="3"/>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34D04ADC" w14:textId="77777777" w:rsidR="001B7C32" w:rsidRDefault="00E41647">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34D04ADD" w14:textId="77777777" w:rsidR="001B7C32" w:rsidRDefault="00E41647">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w:t>
      </w:r>
      <w:r>
        <w:rPr>
          <w:rFonts w:ascii="Arial" w:eastAsia="Arial" w:hAnsi="Arial"/>
          <w:color w:val="000000"/>
          <w:sz w:val="24"/>
          <w:szCs w:val="24"/>
        </w:rPr>
        <w:t xml:space="preserve"> in the financial statements before adjusting for non-underlying items.</w:t>
      </w:r>
    </w:p>
    <w:p w14:paraId="34D04ADE" w14:textId="77777777" w:rsidR="001B7C32" w:rsidRDefault="00E41647">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1B7C32" w14:paraId="34D04AE1" w14:textId="77777777">
        <w:tc>
          <w:tcPr>
            <w:tcW w:w="2538" w:type="dxa"/>
            <w:shd w:val="clear" w:color="auto" w:fill="D9D9D9"/>
          </w:tcPr>
          <w:p w14:paraId="34D04ADF"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34D04AE0"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1B7C32" w14:paraId="34D04AE7" w14:textId="77777777">
        <w:tc>
          <w:tcPr>
            <w:tcW w:w="2538" w:type="dxa"/>
            <w:vAlign w:val="center"/>
          </w:tcPr>
          <w:p w14:paraId="34D04AE2"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34D04AE3"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14:paraId="34D04AE4"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34D04AE5"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w:t>
            </w:r>
            <w:r>
              <w:rPr>
                <w:rFonts w:ascii="Arial" w:eastAsia="Arial" w:hAnsi="Arial"/>
                <w:color w:val="000000"/>
                <w:sz w:val="24"/>
                <w:szCs w:val="24"/>
              </w:rPr>
              <w:t>es or Associates.</w:t>
            </w:r>
          </w:p>
          <w:p w14:paraId="34D04AE6"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1B7C32" w14:paraId="34D04AF2" w14:textId="77777777">
        <w:tc>
          <w:tcPr>
            <w:tcW w:w="2538" w:type="dxa"/>
          </w:tcPr>
          <w:p w14:paraId="34D04AE8"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34D04AE9"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sz w:val="24"/>
                <w:szCs w:val="24"/>
              </w:rPr>
              <w:t>N</w:t>
            </w:r>
            <w:r>
              <w:rPr>
                <w:rFonts w:ascii="Arial" w:eastAsia="Arial" w:hAnsi="Arial"/>
                <w:b/>
                <w:color w:val="000000"/>
                <w:sz w:val="24"/>
                <w:szCs w:val="24"/>
              </w:rPr>
              <w:t>et Debt to EBITDA Ratio</w:t>
            </w:r>
          </w:p>
        </w:tc>
        <w:tc>
          <w:tcPr>
            <w:tcW w:w="6478" w:type="dxa"/>
          </w:tcPr>
          <w:p w14:paraId="34D04AEA"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34D04AEB"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34D04AEC"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EBITDA Ratio should be shown on the face of the Balance sheet, Income statement and Statement of Cash </w:t>
            </w:r>
            <w:r>
              <w:rPr>
                <w:rFonts w:ascii="Arial" w:eastAsia="Arial" w:hAnsi="Arial"/>
                <w:color w:val="000000"/>
                <w:sz w:val="24"/>
                <w:szCs w:val="24"/>
              </w:rPr>
              <w:lastRenderedPageBreak/>
              <w:t>Flows in a standard set of financial statements but will otherwise be found in the notes to</w:t>
            </w:r>
            <w:r>
              <w:rPr>
                <w:rFonts w:ascii="Arial" w:eastAsia="Arial" w:hAnsi="Arial"/>
                <w:color w:val="000000"/>
                <w:sz w:val="24"/>
                <w:szCs w:val="24"/>
              </w:rPr>
              <w:t xml:space="preserve"> the financial statements.</w:t>
            </w:r>
          </w:p>
          <w:p w14:paraId="34D04AED"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w:t>
            </w:r>
            <w:r>
              <w:rPr>
                <w:rFonts w:ascii="Arial" w:eastAsia="Arial" w:hAnsi="Arial"/>
                <w:color w:val="000000"/>
                <w:sz w:val="24"/>
                <w:szCs w:val="24"/>
              </w:rPr>
              <w:t>n retirement benefit obligations) should be included as borrowings as should, where disclosed, any liabilities (less any assets) in respect of any hedges designated as linked to borrowings (but not non-designated hedges). Borrowings should also include bal</w:t>
            </w:r>
            <w:r>
              <w:rPr>
                <w:rFonts w:ascii="Arial" w:eastAsia="Arial" w:hAnsi="Arial"/>
                <w:color w:val="000000"/>
                <w:sz w:val="24"/>
                <w:szCs w:val="24"/>
              </w:rPr>
              <w:t>ances owed to other group members.</w:t>
            </w:r>
          </w:p>
          <w:p w14:paraId="34D04AEE"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34D04AEF"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34D04AF0"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w:t>
            </w:r>
            <w:r>
              <w:rPr>
                <w:rFonts w:ascii="Arial" w:eastAsia="Arial" w:hAnsi="Arial"/>
                <w:color w:val="000000"/>
                <w:sz w:val="24"/>
                <w:szCs w:val="24"/>
              </w:rPr>
              <w:t xml:space="preserve"> is negative (i.e. an entity has net cash), the relevant Financial Target Threshold should be treated as having been met. </w:t>
            </w:r>
          </w:p>
          <w:p w14:paraId="34D04AF1"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bookmarkStart w:id="4" w:name="_heading=h.2et92p0" w:colFirst="0" w:colLast="0"/>
            <w:bookmarkEnd w:id="4"/>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w:t>
            </w:r>
            <w:r>
              <w:rPr>
                <w:rFonts w:ascii="Arial" w:eastAsia="Arial" w:hAnsi="Arial"/>
                <w:color w:val="000000"/>
                <w:sz w:val="24"/>
                <w:szCs w:val="24"/>
              </w:rPr>
              <w:t xml:space="preserve">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w:t>
            </w:r>
            <w:r>
              <w:rPr>
                <w:rFonts w:ascii="Arial" w:eastAsia="Arial" w:hAnsi="Arial"/>
                <w:i/>
                <w:color w:val="000000"/>
                <w:sz w:val="24"/>
                <w:szCs w:val="24"/>
              </w:rPr>
              <w:t>tive, the relevant Financial Target Threshold should be treated as not having been met (unless Net Debt is also negative, in which case the relevant Financial Target Threshold should be treated as having been met).</w:t>
            </w:r>
          </w:p>
        </w:tc>
      </w:tr>
      <w:tr w:rsidR="001B7C32" w14:paraId="34D04B01" w14:textId="77777777">
        <w:tc>
          <w:tcPr>
            <w:tcW w:w="2538" w:type="dxa"/>
          </w:tcPr>
          <w:p w14:paraId="34D04AF3"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34D04AF4"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 xml:space="preserve">Net Debt + </w:t>
            </w:r>
            <w:proofErr w:type="gramStart"/>
            <w:r>
              <w:rPr>
                <w:rFonts w:ascii="Arial" w:eastAsia="Arial" w:hAnsi="Arial"/>
                <w:b/>
                <w:color w:val="000000"/>
                <w:sz w:val="24"/>
                <w:szCs w:val="24"/>
              </w:rPr>
              <w:t>Net  Pension</w:t>
            </w:r>
            <w:proofErr w:type="gramEnd"/>
            <w:r>
              <w:rPr>
                <w:rFonts w:ascii="Arial" w:eastAsia="Arial" w:hAnsi="Arial"/>
                <w:b/>
                <w:color w:val="000000"/>
                <w:sz w:val="24"/>
                <w:szCs w:val="24"/>
              </w:rPr>
              <w:t xml:space="preserve"> Deficit to EBITDA ratio</w:t>
            </w:r>
          </w:p>
        </w:tc>
        <w:tc>
          <w:tcPr>
            <w:tcW w:w="6478" w:type="dxa"/>
          </w:tcPr>
          <w:p w14:paraId="34D04AF5"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34D04AF6"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w:t>
            </w:r>
            <w:r>
              <w:rPr>
                <w:rFonts w:ascii="Arial" w:eastAsia="Arial" w:hAnsi="Arial"/>
                <w:i/>
                <w:color w:val="000000"/>
                <w:sz w:val="24"/>
                <w:szCs w:val="24"/>
              </w:rPr>
              <w:t>sets</w:t>
            </w:r>
          </w:p>
          <w:p w14:paraId="34D04AF7"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34D04AF8"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Pr>
                <w:rFonts w:ascii="Arial" w:eastAsia="Arial" w:hAnsi="Arial"/>
                <w:color w:val="000000"/>
                <w:sz w:val="24"/>
                <w:szCs w:val="24"/>
              </w:rPr>
              <w:lastRenderedPageBreak/>
              <w:t>statements but will otherwise be</w:t>
            </w:r>
            <w:r>
              <w:rPr>
                <w:rFonts w:ascii="Arial" w:eastAsia="Arial" w:hAnsi="Arial"/>
                <w:color w:val="000000"/>
                <w:sz w:val="24"/>
                <w:szCs w:val="24"/>
              </w:rPr>
              <w:t xml:space="preserve"> found in the notes to the financial statements.</w:t>
            </w:r>
          </w:p>
          <w:p w14:paraId="34D04AF9"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w:t>
            </w:r>
            <w:r>
              <w:rPr>
                <w:rFonts w:ascii="Arial" w:eastAsia="Arial" w:hAnsi="Arial"/>
                <w:color w:val="000000"/>
                <w:sz w:val="24"/>
                <w:szCs w:val="24"/>
              </w:rPr>
              <w:t xml:space="preserve">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w:t>
            </w:r>
            <w:r>
              <w:rPr>
                <w:rFonts w:ascii="Arial" w:eastAsia="Arial" w:hAnsi="Arial"/>
                <w:color w:val="000000"/>
                <w:sz w:val="24"/>
                <w:szCs w:val="24"/>
              </w:rPr>
              <w:t>hould also include balances owed to other group members.</w:t>
            </w:r>
          </w:p>
          <w:p w14:paraId="34D04AFA"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34D04AFB"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34D04AFC"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Retirement Benefit Obligations and Retirement Benefit Assets may be shown on the face of the Balance Sheet or in the notes to the financ</w:t>
            </w:r>
            <w:r>
              <w:rPr>
                <w:rFonts w:ascii="Arial" w:eastAsia="Arial" w:hAnsi="Arial"/>
                <w:color w:val="000000"/>
                <w:sz w:val="24"/>
                <w:szCs w:val="24"/>
              </w:rPr>
              <w:t xml:space="preserve">ial statements. They may also be described as pension benefits / obligations, post-employment obligations or other similar terms. </w:t>
            </w:r>
          </w:p>
          <w:p w14:paraId="34D04AFD"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 Net Pension Deficit’ is negative, the relevant Financial Target Threshold should be treated as having been </w:t>
            </w:r>
            <w:r>
              <w:rPr>
                <w:rFonts w:ascii="Arial" w:eastAsia="Arial" w:hAnsi="Arial"/>
                <w:color w:val="000000"/>
                <w:sz w:val="24"/>
                <w:szCs w:val="24"/>
              </w:rPr>
              <w:t>met.</w:t>
            </w:r>
          </w:p>
          <w:p w14:paraId="34D04AFE"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34D04AFF"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depreciation and amor</w:t>
            </w:r>
            <w:r>
              <w:rPr>
                <w:rFonts w:ascii="Arial" w:eastAsia="Arial" w:hAnsi="Arial"/>
                <w:color w:val="000000"/>
                <w:sz w:val="24"/>
                <w:szCs w:val="24"/>
              </w:rPr>
              <w:t xml:space="preserve">tisation charges for the period may be found on the face of the Statement of Cash Flows or in a Note to the Accounts. </w:t>
            </w:r>
          </w:p>
          <w:p w14:paraId="34D04B00"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w:t>
            </w:r>
            <w:r>
              <w:rPr>
                <w:rFonts w:ascii="Arial" w:eastAsia="Arial" w:hAnsi="Arial"/>
                <w:color w:val="000000"/>
                <w:sz w:val="24"/>
                <w:szCs w:val="24"/>
              </w:rPr>
              <w:t>n Deficit’ is also negative, in which case the relevant Financial Target Threshold should be regarded as having been met).</w:t>
            </w:r>
          </w:p>
        </w:tc>
      </w:tr>
      <w:tr w:rsidR="001B7C32" w14:paraId="34D04B09" w14:textId="77777777">
        <w:tc>
          <w:tcPr>
            <w:tcW w:w="2538" w:type="dxa"/>
            <w:vAlign w:val="center"/>
          </w:tcPr>
          <w:p w14:paraId="34D04B02"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34D04B03"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14:paraId="34D04B04"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34D04B05"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34D04B06"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Operating profit should be shown on the face of the Income Statement in a standard set of financial statements and, for the purposes of calculating this Financial Indicator, </w:t>
            </w:r>
            <w:r>
              <w:rPr>
                <w:rFonts w:ascii="Arial" w:eastAsia="Arial" w:hAnsi="Arial"/>
                <w:color w:val="000000"/>
                <w:sz w:val="24"/>
                <w:szCs w:val="24"/>
              </w:rPr>
              <w:lastRenderedPageBreak/>
              <w:t>should include the entity’s share of the results of any joint ventures or Associat</w:t>
            </w:r>
            <w:r>
              <w:rPr>
                <w:rFonts w:ascii="Arial" w:eastAsia="Arial" w:hAnsi="Arial"/>
                <w:color w:val="000000"/>
                <w:sz w:val="24"/>
                <w:szCs w:val="24"/>
              </w:rPr>
              <w:t>es.</w:t>
            </w:r>
          </w:p>
          <w:p w14:paraId="34D04B07"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14:paraId="34D04B08"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1B7C32" w14:paraId="34D04B0D" w14:textId="77777777">
        <w:tc>
          <w:tcPr>
            <w:tcW w:w="2538" w:type="dxa"/>
            <w:vAlign w:val="center"/>
          </w:tcPr>
          <w:p w14:paraId="34D04B0A"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34D04B0B"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14:paraId="34D04B0C"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1B7C32" w14:paraId="34D04B11" w14:textId="77777777">
        <w:tc>
          <w:tcPr>
            <w:tcW w:w="2538" w:type="dxa"/>
            <w:vAlign w:val="center"/>
          </w:tcPr>
          <w:p w14:paraId="34D04B0E"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34D04B0F"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14:paraId="34D04B10"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w:t>
            </w:r>
            <w:r>
              <w:rPr>
                <w:rFonts w:ascii="Arial" w:eastAsia="Arial" w:hAnsi="Arial"/>
                <w:color w:val="000000"/>
                <w:sz w:val="24"/>
                <w:szCs w:val="24"/>
              </w:rPr>
              <w:t>eet of a standard set of financial statements. Net Assets are sometimes called net worth or ‘Shareholders’ Funds’. They represent the net assets available to the shareholders. Where an entity has a majority interest in another entity in which there are als</w:t>
            </w:r>
            <w:r>
              <w:rPr>
                <w:rFonts w:ascii="Arial" w:eastAsia="Arial" w:hAnsi="Arial"/>
                <w:color w:val="000000"/>
                <w:sz w:val="24"/>
                <w:szCs w:val="24"/>
              </w:rPr>
              <w:t>o minority or non-controlling interests (i.e. where it has a subsidiary partially owned by outside investors), Net Assets should be taken inclusive of minority or non-controlling interests (as if the entity owned 100% of such entity).</w:t>
            </w:r>
          </w:p>
        </w:tc>
      </w:tr>
      <w:tr w:rsidR="001B7C32" w14:paraId="34D04B1A" w14:textId="77777777">
        <w:tc>
          <w:tcPr>
            <w:tcW w:w="2538" w:type="dxa"/>
            <w:vAlign w:val="center"/>
          </w:tcPr>
          <w:p w14:paraId="34D04B12"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34D04B13"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w:t>
            </w:r>
            <w:r>
              <w:rPr>
                <w:rFonts w:ascii="Arial" w:eastAsia="Arial" w:hAnsi="Arial"/>
                <w:b/>
                <w:color w:val="000000"/>
                <w:sz w:val="24"/>
                <w:szCs w:val="24"/>
              </w:rPr>
              <w:t>i</w:t>
            </w:r>
            <w:r>
              <w:rPr>
                <w:rFonts w:ascii="Arial" w:eastAsia="Arial" w:hAnsi="Arial"/>
                <w:b/>
                <w:sz w:val="24"/>
                <w:szCs w:val="24"/>
              </w:rPr>
              <w:t>o</w:t>
            </w:r>
          </w:p>
        </w:tc>
        <w:tc>
          <w:tcPr>
            <w:tcW w:w="6478" w:type="dxa"/>
          </w:tcPr>
          <w:p w14:paraId="34D04B14"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14:paraId="34D04B15" w14:textId="77777777" w:rsidR="001B7C32" w:rsidRDefault="00E41647">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14:paraId="34D04B16"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w:t>
            </w:r>
            <w:proofErr w:type="spellStart"/>
            <w:r>
              <w:rPr>
                <w:rFonts w:ascii="Arial" w:eastAsia="Arial" w:hAnsi="Arial"/>
                <w:color w:val="000000"/>
                <w:sz w:val="24"/>
                <w:szCs w:val="24"/>
              </w:rPr>
              <w:t>ie</w:t>
            </w:r>
            <w:proofErr w:type="spellEnd"/>
            <w:r>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w:t>
            </w:r>
            <w:r>
              <w:rPr>
                <w:rFonts w:ascii="Arial" w:eastAsia="Arial" w:hAnsi="Arial"/>
                <w:color w:val="000000"/>
                <w:sz w:val="24"/>
                <w:szCs w:val="24"/>
              </w:rPr>
              <w:t>ular where an entity is not a member of a group or is itself the ultimate holding company of the group.</w:t>
            </w:r>
          </w:p>
          <w:p w14:paraId="34D04B17"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Contingent liabilities assumed in support of Group Undertakings are shown in the Contingent Liabilities note in a standard set of financial statements. </w:t>
            </w:r>
            <w:r>
              <w:rPr>
                <w:rFonts w:ascii="Arial" w:eastAsia="Arial" w:hAnsi="Arial"/>
                <w:color w:val="000000"/>
                <w:sz w:val="24"/>
                <w:szCs w:val="24"/>
              </w:rPr>
              <w:t xml:space="preserve">They include guarantees and security given in support of the borrowings of other group companies, often as part of group borrowing arrangements. Where the contingent liabilities are capped, the capped figure should be taken as their value. Where no cap or </w:t>
            </w:r>
            <w:r>
              <w:rPr>
                <w:rFonts w:ascii="Arial" w:eastAsia="Arial" w:hAnsi="Arial"/>
                <w:color w:val="000000"/>
                <w:sz w:val="24"/>
                <w:szCs w:val="24"/>
              </w:rPr>
              <w:t>maximum is specified, the relevant Financial Target Threshold should automatically be regarded as not having been met.</w:t>
            </w:r>
          </w:p>
          <w:p w14:paraId="34D04B18"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In many cases an entity may not have assumed any contingent liabilities in support of Group Undertakings, in particular where an entity i</w:t>
            </w:r>
            <w:r>
              <w:rPr>
                <w:rFonts w:ascii="Arial" w:eastAsia="Arial" w:hAnsi="Arial"/>
                <w:color w:val="000000"/>
                <w:sz w:val="24"/>
                <w:szCs w:val="24"/>
              </w:rPr>
              <w:t>s not a member of a group or is itself the ultimate holding company of the group.</w:t>
            </w:r>
          </w:p>
          <w:p w14:paraId="34D04B19" w14:textId="77777777" w:rsidR="001B7C32" w:rsidRDefault="00E41647">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bl>
    <w:p w14:paraId="34D04B1B" w14:textId="77777777" w:rsidR="001B7C32" w:rsidRDefault="001B7C32">
      <w:pPr>
        <w:pBdr>
          <w:top w:val="nil"/>
          <w:left w:val="nil"/>
          <w:bottom w:val="nil"/>
          <w:right w:val="nil"/>
          <w:between w:val="nil"/>
        </w:pBdr>
        <w:spacing w:before="100" w:after="200"/>
        <w:jc w:val="left"/>
        <w:rPr>
          <w:rFonts w:ascii="Arial" w:eastAsia="Arial" w:hAnsi="Arial"/>
          <w:color w:val="000000"/>
          <w:sz w:val="24"/>
          <w:szCs w:val="24"/>
        </w:rPr>
      </w:pPr>
    </w:p>
    <w:p w14:paraId="34D04B1C" w14:textId="77777777" w:rsidR="001B7C32" w:rsidRDefault="00E41647">
      <w:pPr>
        <w:spacing w:after="200" w:line="276" w:lineRule="auto"/>
        <w:jc w:val="left"/>
        <w:rPr>
          <w:rFonts w:ascii="Arial" w:eastAsia="Arial" w:hAnsi="Arial"/>
          <w:sz w:val="24"/>
          <w:szCs w:val="24"/>
        </w:rPr>
      </w:pPr>
      <w:r>
        <w:br w:type="page"/>
      </w:r>
    </w:p>
    <w:p w14:paraId="34D04B1D" w14:textId="77777777" w:rsidR="001B7C32" w:rsidRDefault="00E41647">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6" w:name="_heading=h.3dy6vkm" w:colFirst="0" w:colLast="0"/>
      <w:bookmarkEnd w:id="6"/>
      <w:r>
        <w:rPr>
          <w:rFonts w:ascii="Arial Bold" w:eastAsia="Arial Bold" w:hAnsi="Arial Bold" w:cs="Arial Bold"/>
          <w:b/>
          <w:smallCaps/>
          <w:color w:val="000000"/>
          <w:sz w:val="24"/>
          <w:szCs w:val="24"/>
        </w:rPr>
        <w:lastRenderedPageBreak/>
        <w:t>Annex 4: Board Confirmation</w:t>
      </w:r>
    </w:p>
    <w:p w14:paraId="34D04B1E" w14:textId="77777777" w:rsidR="001B7C32" w:rsidRDefault="001B7C32">
      <w:pPr>
        <w:pBdr>
          <w:top w:val="nil"/>
          <w:left w:val="nil"/>
          <w:bottom w:val="nil"/>
          <w:right w:val="nil"/>
          <w:between w:val="nil"/>
        </w:pBdr>
        <w:spacing w:before="100" w:after="200"/>
        <w:jc w:val="left"/>
        <w:rPr>
          <w:rFonts w:ascii="Arial" w:eastAsia="Arial" w:hAnsi="Arial"/>
          <w:color w:val="000000"/>
          <w:sz w:val="24"/>
          <w:szCs w:val="24"/>
        </w:rPr>
      </w:pPr>
    </w:p>
    <w:p w14:paraId="34D04B1F"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34D04B20" w14:textId="77777777" w:rsidR="001B7C32" w:rsidRDefault="00E41647">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34D04B21" w14:textId="77777777" w:rsidR="001B7C32" w:rsidRDefault="001B7C32">
      <w:pPr>
        <w:pBdr>
          <w:top w:val="nil"/>
          <w:left w:val="nil"/>
          <w:bottom w:val="nil"/>
          <w:right w:val="nil"/>
          <w:between w:val="nil"/>
        </w:pBdr>
        <w:spacing w:before="100" w:after="200"/>
        <w:jc w:val="left"/>
        <w:rPr>
          <w:rFonts w:ascii="Arial" w:eastAsia="Arial" w:hAnsi="Arial"/>
          <w:color w:val="000000"/>
          <w:sz w:val="24"/>
          <w:szCs w:val="24"/>
        </w:rPr>
      </w:pPr>
    </w:p>
    <w:p w14:paraId="34D04B22" w14:textId="77777777" w:rsidR="001B7C32" w:rsidRDefault="00E41647">
      <w:pPr>
        <w:pBdr>
          <w:top w:val="nil"/>
          <w:left w:val="nil"/>
          <w:bottom w:val="nil"/>
          <w:right w:val="nil"/>
          <w:between w:val="nil"/>
        </w:pBdr>
        <w:spacing w:before="100" w:after="200"/>
        <w:ind w:left="7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w:t>
      </w:r>
      <w:r>
        <w:rPr>
          <w:rFonts w:ascii="Arial" w:eastAsia="Arial" w:hAnsi="Arial"/>
          <w:color w:val="000000"/>
          <w:sz w:val="24"/>
          <w:szCs w:val="24"/>
        </w:rPr>
        <w:t>ons as is reasonably necessary to enable the Board to prepare this statement.</w:t>
      </w:r>
    </w:p>
    <w:p w14:paraId="34D04B23" w14:textId="77777777" w:rsidR="001B7C32" w:rsidRDefault="00E4164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34D04B24" w14:textId="77777777" w:rsidR="001B7C32" w:rsidRDefault="00E41647">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34D04B25" w14:textId="77777777" w:rsidR="001B7C32" w:rsidRDefault="00E41647">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w:t>
      </w:r>
      <w:r>
        <w:rPr>
          <w:rFonts w:ascii="Arial" w:eastAsia="Arial" w:hAnsi="Arial"/>
          <w:color w:val="000000"/>
          <w:sz w:val="24"/>
          <w:szCs w:val="24"/>
        </w:rPr>
        <w:t xml:space="preserve"> Event</w:t>
      </w:r>
    </w:p>
    <w:p w14:paraId="34D04B26" w14:textId="77777777" w:rsidR="001B7C32" w:rsidRDefault="001B7C32">
      <w:pPr>
        <w:pBdr>
          <w:top w:val="nil"/>
          <w:left w:val="nil"/>
          <w:bottom w:val="nil"/>
          <w:right w:val="nil"/>
          <w:between w:val="nil"/>
        </w:pBdr>
        <w:spacing w:before="100" w:after="200"/>
        <w:jc w:val="left"/>
        <w:rPr>
          <w:rFonts w:ascii="Arial" w:eastAsia="Arial" w:hAnsi="Arial"/>
          <w:color w:val="000000"/>
          <w:sz w:val="24"/>
          <w:szCs w:val="24"/>
        </w:rPr>
      </w:pPr>
    </w:p>
    <w:p w14:paraId="34D04B27" w14:textId="77777777" w:rsidR="001B7C32" w:rsidRDefault="00E41647">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34D04B28" w14:textId="77777777" w:rsidR="001B7C32" w:rsidRDefault="001B7C32">
      <w:pPr>
        <w:pBdr>
          <w:top w:val="nil"/>
          <w:left w:val="nil"/>
          <w:bottom w:val="nil"/>
          <w:right w:val="nil"/>
          <w:between w:val="nil"/>
        </w:pBdr>
        <w:spacing w:before="100" w:after="200"/>
        <w:jc w:val="left"/>
        <w:rPr>
          <w:rFonts w:ascii="Arial" w:eastAsia="Arial" w:hAnsi="Arial"/>
          <w:color w:val="000000"/>
          <w:sz w:val="24"/>
          <w:szCs w:val="24"/>
        </w:rPr>
      </w:pPr>
    </w:p>
    <w:p w14:paraId="34D04B29" w14:textId="77777777" w:rsidR="001B7C32" w:rsidRDefault="00E4164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34D04B2A" w14:textId="77777777" w:rsidR="001B7C32" w:rsidRDefault="00E4164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34D04B2B" w14:textId="77777777" w:rsidR="001B7C32" w:rsidRDefault="00E4164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34D04B2C" w14:textId="77777777" w:rsidR="001B7C32" w:rsidRDefault="001B7C32">
      <w:pPr>
        <w:pBdr>
          <w:top w:val="nil"/>
          <w:left w:val="nil"/>
          <w:bottom w:val="nil"/>
          <w:right w:val="nil"/>
          <w:between w:val="nil"/>
        </w:pBdr>
        <w:spacing w:before="100" w:after="200"/>
        <w:jc w:val="left"/>
        <w:rPr>
          <w:rFonts w:ascii="Arial" w:eastAsia="Arial" w:hAnsi="Arial"/>
          <w:color w:val="000000"/>
          <w:sz w:val="24"/>
          <w:szCs w:val="24"/>
        </w:rPr>
      </w:pPr>
    </w:p>
    <w:p w14:paraId="34D04B2D" w14:textId="77777777" w:rsidR="001B7C32" w:rsidRDefault="00E4164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34D04B2E" w14:textId="77777777" w:rsidR="001B7C32" w:rsidRDefault="00E4164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34D04B2F" w14:textId="77777777" w:rsidR="001B7C32" w:rsidRDefault="00E41647">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34D04B30" w14:textId="77777777" w:rsidR="001B7C32" w:rsidRDefault="001B7C32">
      <w:pPr>
        <w:pBdr>
          <w:top w:val="nil"/>
          <w:left w:val="nil"/>
          <w:bottom w:val="nil"/>
          <w:right w:val="nil"/>
          <w:between w:val="nil"/>
        </w:pBdr>
        <w:spacing w:before="100" w:after="200"/>
        <w:jc w:val="left"/>
        <w:rPr>
          <w:rFonts w:ascii="Arial" w:eastAsia="Arial" w:hAnsi="Arial"/>
          <w:color w:val="000000"/>
          <w:sz w:val="24"/>
          <w:szCs w:val="24"/>
        </w:rPr>
      </w:pPr>
    </w:p>
    <w:p w14:paraId="34D04B31" w14:textId="77777777" w:rsidR="001B7C32" w:rsidRDefault="001B7C32">
      <w:pPr>
        <w:spacing w:after="200" w:line="276" w:lineRule="auto"/>
        <w:jc w:val="left"/>
        <w:rPr>
          <w:rFonts w:ascii="Arial" w:eastAsia="Arial" w:hAnsi="Arial"/>
          <w:sz w:val="36"/>
          <w:szCs w:val="36"/>
        </w:rPr>
      </w:pPr>
    </w:p>
    <w:sectPr w:rsidR="001B7C32">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04B3F" w14:textId="77777777" w:rsidR="00000000" w:rsidRDefault="00E41647">
      <w:pPr>
        <w:spacing w:after="0"/>
      </w:pPr>
      <w:r>
        <w:separator/>
      </w:r>
    </w:p>
  </w:endnote>
  <w:endnote w:type="continuationSeparator" w:id="0">
    <w:p w14:paraId="34D04B41" w14:textId="77777777" w:rsidR="00000000" w:rsidRDefault="00E416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04B35" w14:textId="77777777" w:rsidR="001B7C32" w:rsidRDefault="00E41647">
    <w:pPr>
      <w:tabs>
        <w:tab w:val="center" w:pos="4513"/>
        <w:tab w:val="right" w:pos="9026"/>
      </w:tabs>
      <w:spacing w:after="0"/>
      <w:rPr>
        <w:rFonts w:ascii="Arial" w:eastAsia="Arial" w:hAnsi="Arial"/>
        <w:sz w:val="20"/>
        <w:szCs w:val="20"/>
      </w:rPr>
    </w:pPr>
    <w:r>
      <w:rPr>
        <w:rFonts w:ascii="Arial" w:eastAsia="Arial" w:hAnsi="Arial"/>
        <w:sz w:val="20"/>
        <w:szCs w:val="20"/>
      </w:rPr>
      <w:t>Framework Ref: RM6181</w:t>
    </w:r>
    <w:r>
      <w:rPr>
        <w:rFonts w:ascii="Arial" w:eastAsia="Arial" w:hAnsi="Arial"/>
        <w:sz w:val="20"/>
        <w:szCs w:val="20"/>
      </w:rPr>
      <w:tab/>
      <w:t xml:space="preserve">                                           </w:t>
    </w:r>
  </w:p>
  <w:p w14:paraId="34D04B36" w14:textId="79B4C0FE" w:rsidR="001B7C32" w:rsidRDefault="00E4164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34D04B37" w14:textId="77777777" w:rsidR="001B7C32" w:rsidRDefault="00E41647">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04B38" w14:textId="77777777" w:rsidR="001B7C32" w:rsidRDefault="00E41647">
    <w:pPr>
      <w:tabs>
        <w:tab w:val="center" w:pos="4513"/>
        <w:tab w:val="right" w:pos="9026"/>
      </w:tabs>
      <w:spacing w:after="0"/>
      <w:rPr>
        <w:color w:val="BFBFBF"/>
      </w:rPr>
    </w:pPr>
    <w:r>
      <w:rPr>
        <w:color w:val="BFBFBF"/>
      </w:rPr>
      <w:t>Framework Ref: RM</w:t>
    </w:r>
    <w:r>
      <w:rPr>
        <w:color w:val="BFBFBF"/>
      </w:rPr>
      <w:tab/>
      <w:t xml:space="preserve">                                           </w:t>
    </w:r>
  </w:p>
  <w:p w14:paraId="34D04B39" w14:textId="77777777" w:rsidR="001B7C32" w:rsidRDefault="00E41647">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34D04B3A" w14:textId="77777777" w:rsidR="001B7C32" w:rsidRDefault="00E41647">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04B3B" w14:textId="77777777" w:rsidR="00000000" w:rsidRDefault="00E41647">
      <w:pPr>
        <w:spacing w:after="0"/>
      </w:pPr>
      <w:r>
        <w:separator/>
      </w:r>
    </w:p>
  </w:footnote>
  <w:footnote w:type="continuationSeparator" w:id="0">
    <w:p w14:paraId="34D04B3D" w14:textId="77777777" w:rsidR="00000000" w:rsidRDefault="00E416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04B33" w14:textId="77777777" w:rsidR="001B7C32" w:rsidRDefault="00E4164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34D04B34" w14:textId="77777777" w:rsidR="001B7C32" w:rsidRDefault="00E4164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B64583"/>
    <w:multiLevelType w:val="multilevel"/>
    <w:tmpl w:val="EF460678"/>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53AD6C57"/>
    <w:multiLevelType w:val="multilevel"/>
    <w:tmpl w:val="0F86DB8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E8535B3"/>
    <w:multiLevelType w:val="multilevel"/>
    <w:tmpl w:val="B590C718"/>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C32"/>
    <w:rsid w:val="001B7C32"/>
    <w:rsid w:val="00E41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04A16"/>
  <w15:docId w15:val="{B015610D-CBFD-4769-AA22-011AC295F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4"/>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R5/B/ONEuB8eqwuBCwstv94XlA==">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4526</Words>
  <Characters>25802</Characters>
  <Application>Microsoft Office Word</Application>
  <DocSecurity>0</DocSecurity>
  <Lines>215</Lines>
  <Paragraphs>60</Paragraphs>
  <ScaleCrop>false</ScaleCrop>
  <Company/>
  <LinksUpToDate>false</LinksUpToDate>
  <CharactersWithSpaces>30268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2</cp:revision>
  <dcterms:created xsi:type="dcterms:W3CDTF">2022-10-05T15:18:00Z</dcterms:created>
  <dcterms:modified xsi:type="dcterms:W3CDTF">2022-10-13T15:40:00Z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